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AC" w:rsidRPr="007E76AC" w:rsidRDefault="007E76AC" w:rsidP="007E76AC">
      <w:pPr>
        <w:shd w:val="clear" w:color="auto" w:fill="FFFFFF"/>
        <w:spacing w:before="100" w:beforeAutospacing="1" w:after="150" w:line="240" w:lineRule="auto"/>
        <w:outlineLvl w:val="1"/>
        <w:rPr>
          <w:rFonts w:ascii="Verdana" w:eastAsia="Times New Roman" w:hAnsi="Verdana" w:cs="Times New Roman"/>
          <w:b/>
          <w:bCs/>
          <w:color w:val="E2048F"/>
          <w:kern w:val="36"/>
          <w:sz w:val="24"/>
          <w:szCs w:val="24"/>
          <w:lang w:eastAsia="nl-NL"/>
        </w:rPr>
      </w:pPr>
      <w:r w:rsidRPr="007E76AC">
        <w:rPr>
          <w:rFonts w:ascii="Verdana" w:eastAsia="Times New Roman" w:hAnsi="Verdana" w:cs="Times New Roman"/>
          <w:b/>
          <w:bCs/>
          <w:color w:val="E2048F"/>
          <w:kern w:val="36"/>
          <w:sz w:val="24"/>
          <w:szCs w:val="24"/>
          <w:lang w:eastAsia="nl-NL"/>
        </w:rPr>
        <w:t xml:space="preserve">Het begeleiden van het schrijven van een N=1 </w:t>
      </w:r>
    </w:p>
    <w:tbl>
      <w:tblPr>
        <w:tblW w:w="0" w:type="auto"/>
        <w:jc w:val="center"/>
        <w:tblCellMar>
          <w:top w:w="15" w:type="dxa"/>
          <w:left w:w="15" w:type="dxa"/>
          <w:bottom w:w="15" w:type="dxa"/>
          <w:right w:w="15" w:type="dxa"/>
        </w:tblCellMar>
        <w:tblLook w:val="04A0" w:firstRow="1" w:lastRow="0" w:firstColumn="1" w:lastColumn="0" w:noHBand="0" w:noVBand="1"/>
      </w:tblPr>
      <w:tblGrid>
        <w:gridCol w:w="2550"/>
        <w:gridCol w:w="4013"/>
      </w:tblGrid>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Datum: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22 juni 2015 </w:t>
            </w:r>
          </w:p>
        </w:tc>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Tijd: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10:00 - 17:00 uur </w:t>
            </w:r>
          </w:p>
        </w:tc>
        <w:bookmarkStart w:id="0" w:name="_GoBack"/>
        <w:bookmarkEnd w:id="0"/>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p>
        </w:tc>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Locatie: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VGCt bureau, Lunettenbaan 57, Utrecht </w:t>
            </w:r>
          </w:p>
        </w:tc>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Omschrijving: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Nascholing voor </w:t>
            </w:r>
            <w:proofErr w:type="spellStart"/>
            <w:r w:rsidRPr="007E76AC">
              <w:rPr>
                <w:rFonts w:ascii="Verdana" w:eastAsia="Times New Roman" w:hAnsi="Verdana" w:cs="Times New Roman"/>
                <w:color w:val="00325D"/>
                <w:sz w:val="18"/>
                <w:szCs w:val="18"/>
                <w:lang w:eastAsia="nl-NL"/>
              </w:rPr>
              <w:t>supervisoren</w:t>
            </w:r>
            <w:proofErr w:type="spellEnd"/>
            <w:r w:rsidRPr="007E76AC">
              <w:rPr>
                <w:rFonts w:ascii="Verdana" w:eastAsia="Times New Roman" w:hAnsi="Verdana" w:cs="Times New Roman"/>
                <w:color w:val="00325D"/>
                <w:sz w:val="18"/>
                <w:szCs w:val="18"/>
                <w:lang w:eastAsia="nl-NL"/>
              </w:rPr>
              <w:t xml:space="preserve"> VGCt </w:t>
            </w:r>
          </w:p>
        </w:tc>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Docenten: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Angeline </w:t>
            </w:r>
            <w:proofErr w:type="spellStart"/>
            <w:r w:rsidRPr="007E76AC">
              <w:rPr>
                <w:rFonts w:ascii="Verdana" w:eastAsia="Times New Roman" w:hAnsi="Verdana" w:cs="Times New Roman"/>
                <w:color w:val="00325D"/>
                <w:sz w:val="18"/>
                <w:szCs w:val="18"/>
                <w:lang w:eastAsia="nl-NL"/>
              </w:rPr>
              <w:t>Smeltink</w:t>
            </w:r>
            <w:proofErr w:type="spellEnd"/>
            <w:r w:rsidRPr="007E76AC">
              <w:rPr>
                <w:rFonts w:ascii="Verdana" w:eastAsia="Times New Roman" w:hAnsi="Verdana" w:cs="Times New Roman"/>
                <w:color w:val="00325D"/>
                <w:sz w:val="18"/>
                <w:szCs w:val="18"/>
                <w:lang w:eastAsia="nl-NL"/>
              </w:rPr>
              <w:t xml:space="preserve"> of Annemariek </w:t>
            </w:r>
            <w:proofErr w:type="spellStart"/>
            <w:r w:rsidRPr="007E76AC">
              <w:rPr>
                <w:rFonts w:ascii="Verdana" w:eastAsia="Times New Roman" w:hAnsi="Verdana" w:cs="Times New Roman"/>
                <w:color w:val="00325D"/>
                <w:sz w:val="18"/>
                <w:szCs w:val="18"/>
                <w:lang w:eastAsia="nl-NL"/>
              </w:rPr>
              <w:t>Sepers</w:t>
            </w:r>
            <w:proofErr w:type="spellEnd"/>
            <w:r w:rsidRPr="007E76AC">
              <w:rPr>
                <w:rFonts w:ascii="Verdana" w:eastAsia="Times New Roman" w:hAnsi="Verdana" w:cs="Times New Roman"/>
                <w:color w:val="00325D"/>
                <w:sz w:val="18"/>
                <w:szCs w:val="18"/>
                <w:lang w:eastAsia="nl-NL"/>
              </w:rPr>
              <w:t xml:space="preserve"> </w:t>
            </w:r>
          </w:p>
        </w:tc>
      </w:tr>
      <w:tr w:rsidR="007E76AC" w:rsidRPr="007E76AC" w:rsidTr="007E76AC">
        <w:trPr>
          <w:jc w:val="center"/>
        </w:trPr>
        <w:tc>
          <w:tcPr>
            <w:tcW w:w="2550" w:type="dxa"/>
            <w:hideMark/>
          </w:tcPr>
          <w:p w:rsidR="007E76AC" w:rsidRPr="007E76AC" w:rsidRDefault="007E76AC" w:rsidP="007E76AC">
            <w:pPr>
              <w:spacing w:after="225" w:line="240" w:lineRule="auto"/>
              <w:rPr>
                <w:rFonts w:ascii="Verdana" w:eastAsia="Times New Roman" w:hAnsi="Verdana" w:cs="Times New Roman"/>
                <w:b/>
                <w:bCs/>
                <w:color w:val="00325D"/>
                <w:sz w:val="18"/>
                <w:szCs w:val="18"/>
                <w:lang w:eastAsia="nl-NL"/>
              </w:rPr>
            </w:pPr>
            <w:r w:rsidRPr="007E76AC">
              <w:rPr>
                <w:rFonts w:ascii="Verdana" w:eastAsia="Times New Roman" w:hAnsi="Verdana" w:cs="Times New Roman"/>
                <w:b/>
                <w:bCs/>
                <w:color w:val="00325D"/>
                <w:sz w:val="18"/>
                <w:szCs w:val="18"/>
                <w:lang w:eastAsia="nl-NL"/>
              </w:rPr>
              <w:t xml:space="preserve">Let op: </w:t>
            </w:r>
          </w:p>
        </w:tc>
        <w:tc>
          <w:tcPr>
            <w:tcW w:w="0" w:type="auto"/>
            <w:hideMark/>
          </w:tcPr>
          <w:p w:rsidR="007E76AC" w:rsidRPr="007E76AC" w:rsidRDefault="007E76AC" w:rsidP="007E76AC">
            <w:pPr>
              <w:spacing w:after="225" w:line="240" w:lineRule="auto"/>
              <w:rPr>
                <w:rFonts w:ascii="Verdana" w:eastAsia="Times New Roman" w:hAnsi="Verdana" w:cs="Times New Roman"/>
                <w:color w:val="00325D"/>
                <w:sz w:val="18"/>
                <w:szCs w:val="18"/>
                <w:lang w:eastAsia="nl-NL"/>
              </w:rPr>
            </w:pPr>
            <w:r w:rsidRPr="007E76AC">
              <w:rPr>
                <w:rFonts w:ascii="Verdana" w:eastAsia="Times New Roman" w:hAnsi="Verdana" w:cs="Times New Roman"/>
                <w:color w:val="00325D"/>
                <w:sz w:val="18"/>
                <w:szCs w:val="18"/>
                <w:lang w:eastAsia="nl-NL"/>
              </w:rPr>
              <w:t xml:space="preserve">Deze bijeenkomst is alleen voor VGCt-leden </w:t>
            </w:r>
          </w:p>
        </w:tc>
      </w:tr>
    </w:tbl>
    <w:p w:rsidR="00654B23" w:rsidRDefault="007E76AC" w:rsidP="007E76AC">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b/>
          <w:bCs/>
          <w:color w:val="275176"/>
          <w:sz w:val="18"/>
          <w:szCs w:val="18"/>
          <w:lang w:eastAsia="nl-NL"/>
        </w:rPr>
        <w:t xml:space="preserve">Leerdoel </w:t>
      </w:r>
      <w:r w:rsidRPr="007E76AC">
        <w:rPr>
          <w:rFonts w:ascii="Verdana" w:eastAsia="Times New Roman" w:hAnsi="Verdana" w:cs="Times New Roman"/>
          <w:color w:val="275176"/>
          <w:sz w:val="18"/>
          <w:szCs w:val="18"/>
          <w:lang w:eastAsia="nl-NL"/>
        </w:rPr>
        <w:br/>
        <w:t xml:space="preserve">Je begeleidt je supervisanten scherper bij het schrijven van een N=1-verslag. Hierdoor komen de stappen van het cognitief gedragstherapeutische proces beter naar voren in het verslag.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b/>
          <w:bCs/>
          <w:color w:val="275176"/>
          <w:sz w:val="18"/>
          <w:szCs w:val="18"/>
          <w:lang w:eastAsia="nl-NL"/>
        </w:rPr>
        <w:t>Opzet</w:t>
      </w:r>
      <w:r w:rsidRPr="007E76AC">
        <w:rPr>
          <w:rFonts w:ascii="Verdana" w:eastAsia="Times New Roman" w:hAnsi="Verdana" w:cs="Times New Roman"/>
          <w:color w:val="275176"/>
          <w:sz w:val="18"/>
          <w:szCs w:val="18"/>
          <w:lang w:eastAsia="nl-NL"/>
        </w:rPr>
        <w:t xml:space="preserve"> </w:t>
      </w:r>
      <w:r w:rsidRPr="007E76AC">
        <w:rPr>
          <w:rFonts w:ascii="Verdana" w:eastAsia="Times New Roman" w:hAnsi="Verdana" w:cs="Times New Roman"/>
          <w:color w:val="275176"/>
          <w:sz w:val="18"/>
          <w:szCs w:val="18"/>
          <w:lang w:eastAsia="nl-NL"/>
        </w:rPr>
        <w:br/>
        <w:t xml:space="preserve">Voorafgaand aan de bijeenkomst lees je delen van N=1-verslagen en beoordeel je deze. Bij deze nascholingsactiviteit ontwerp je zelf beoordelingsrichtlijnen voor N=1-verslagen en die je toepast op casusmateriaal. Dit materiaal bestaat uit delen van verslagen van uiteenlopende kwaliteit. De docent licht in een korte presentatie de nieuw ontwikkelde richtlijnen toe en vergelijkt deze met de huidige beoordelingsrichtlijnen. Je discussieert plenair en in subgroepen waardoor je de dilemma’s van het beoordelingsproces leert kennen. </w:t>
      </w:r>
      <w:r w:rsidRPr="007E76AC">
        <w:rPr>
          <w:rFonts w:ascii="Verdana" w:eastAsia="Times New Roman" w:hAnsi="Verdana" w:cs="Times New Roman"/>
          <w:color w:val="275176"/>
          <w:sz w:val="18"/>
          <w:szCs w:val="18"/>
          <w:lang w:eastAsia="nl-NL"/>
        </w:rPr>
        <w:br/>
        <w:t xml:space="preserve">Op deze manier kun je de dilemma’s ook beter overbrengen op je supervisanten. Je leert te letten op de argumentatie van je supervisant en op een duidelijke beschrijving van de stappen van het cognitief gedragstherapeutisch proces.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b/>
          <w:bCs/>
          <w:color w:val="275176"/>
          <w:sz w:val="18"/>
          <w:szCs w:val="18"/>
          <w:lang w:eastAsia="nl-NL"/>
        </w:rPr>
        <w:t xml:space="preserve">Doelgroep </w:t>
      </w:r>
      <w:r w:rsidRPr="007E76AC">
        <w:rPr>
          <w:rFonts w:ascii="Verdana" w:eastAsia="Times New Roman" w:hAnsi="Verdana" w:cs="Times New Roman"/>
          <w:b/>
          <w:bCs/>
          <w:color w:val="275176"/>
          <w:sz w:val="18"/>
          <w:szCs w:val="18"/>
          <w:lang w:eastAsia="nl-NL"/>
        </w:rPr>
        <w:br/>
      </w:r>
      <w:proofErr w:type="spellStart"/>
      <w:r w:rsidRPr="007E76AC">
        <w:rPr>
          <w:rFonts w:ascii="Verdana" w:eastAsia="Times New Roman" w:hAnsi="Verdana" w:cs="Times New Roman"/>
          <w:color w:val="275176"/>
          <w:sz w:val="18"/>
          <w:szCs w:val="18"/>
          <w:lang w:eastAsia="nl-NL"/>
        </w:rPr>
        <w:t>Supervisoren</w:t>
      </w:r>
      <w:proofErr w:type="spellEnd"/>
      <w:r w:rsidRPr="007E76AC">
        <w:rPr>
          <w:rFonts w:ascii="Verdana" w:eastAsia="Times New Roman" w:hAnsi="Verdana" w:cs="Times New Roman"/>
          <w:color w:val="275176"/>
          <w:sz w:val="18"/>
          <w:szCs w:val="18"/>
          <w:lang w:eastAsia="nl-NL"/>
        </w:rPr>
        <w:t xml:space="preserve"> die supervisanten (gaan) begeleiden bij het schrijven van een N=1-verslag.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b/>
          <w:bCs/>
          <w:color w:val="275176"/>
          <w:sz w:val="18"/>
          <w:szCs w:val="18"/>
          <w:lang w:eastAsia="nl-NL"/>
        </w:rPr>
        <w:t xml:space="preserve">Achtergrond </w:t>
      </w:r>
      <w:r w:rsidRPr="007E76AC">
        <w:rPr>
          <w:rFonts w:ascii="Verdana" w:eastAsia="Times New Roman" w:hAnsi="Verdana" w:cs="Times New Roman"/>
          <w:b/>
          <w:bCs/>
          <w:color w:val="275176"/>
          <w:sz w:val="18"/>
          <w:szCs w:val="18"/>
          <w:lang w:eastAsia="nl-NL"/>
        </w:rPr>
        <w:br/>
      </w:r>
      <w:r w:rsidRPr="007E76AC">
        <w:rPr>
          <w:rFonts w:ascii="Verdana" w:eastAsia="Times New Roman" w:hAnsi="Verdana" w:cs="Times New Roman"/>
          <w:color w:val="275176"/>
          <w:sz w:val="18"/>
          <w:szCs w:val="18"/>
          <w:lang w:eastAsia="nl-NL"/>
        </w:rPr>
        <w:t xml:space="preserve">Bij ongeveer één van de zes ingestuurde verslagen bestaat twijfel over de kwaliteit van het verslag en is beoordeling door een tweede lezer nodig. De twijfel ontstaat meestal omdat het de stappen van het gedragstherapeutisch proces niet duidelijk beschreven zijn of omdat de argumentatie niet helder is. Afkeuring van een verslag of een aanvulling moeten schrijven is voor leden in opleiding, en voor hun </w:t>
      </w:r>
      <w:proofErr w:type="spellStart"/>
      <w:r w:rsidRPr="007E76AC">
        <w:rPr>
          <w:rFonts w:ascii="Verdana" w:eastAsia="Times New Roman" w:hAnsi="Verdana" w:cs="Times New Roman"/>
          <w:color w:val="275176"/>
          <w:sz w:val="18"/>
          <w:szCs w:val="18"/>
          <w:lang w:eastAsia="nl-NL"/>
        </w:rPr>
        <w:t>supervisoren</w:t>
      </w:r>
      <w:proofErr w:type="spellEnd"/>
      <w:r w:rsidRPr="007E76AC">
        <w:rPr>
          <w:rFonts w:ascii="Verdana" w:eastAsia="Times New Roman" w:hAnsi="Verdana" w:cs="Times New Roman"/>
          <w:color w:val="275176"/>
          <w:sz w:val="18"/>
          <w:szCs w:val="18"/>
          <w:lang w:eastAsia="nl-NL"/>
        </w:rPr>
        <w:t xml:space="preserve">, vaak frustrerend. Met deze nascholingsactiviteit leveren de docenten een bijdrage aan de verbetering van de kwaliteit van de toekomstige N=1-verslagen.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b/>
          <w:bCs/>
          <w:color w:val="275176"/>
          <w:sz w:val="18"/>
          <w:szCs w:val="18"/>
          <w:lang w:eastAsia="nl-NL"/>
        </w:rPr>
        <w:t>Praktische informatie</w:t>
      </w:r>
      <w:r w:rsidRPr="007E76AC">
        <w:rPr>
          <w:rFonts w:ascii="Verdana" w:eastAsia="Times New Roman" w:hAnsi="Verdana" w:cs="Times New Roman"/>
          <w:color w:val="275176"/>
          <w:sz w:val="18"/>
          <w:szCs w:val="18"/>
          <w:lang w:eastAsia="nl-NL"/>
        </w:rPr>
        <w:t xml:space="preserve"> </w:t>
      </w:r>
      <w:r w:rsidRPr="007E76AC">
        <w:rPr>
          <w:rFonts w:ascii="Verdana" w:eastAsia="Times New Roman" w:hAnsi="Verdana" w:cs="Times New Roman"/>
          <w:color w:val="275176"/>
          <w:sz w:val="18"/>
          <w:szCs w:val="18"/>
          <w:lang w:eastAsia="nl-NL"/>
        </w:rPr>
        <w:br/>
        <w:t>De workshop is uitsluitend bedoeld voor VGCt-</w:t>
      </w:r>
      <w:proofErr w:type="spellStart"/>
      <w:r w:rsidRPr="007E76AC">
        <w:rPr>
          <w:rFonts w:ascii="Verdana" w:eastAsia="Times New Roman" w:hAnsi="Verdana" w:cs="Times New Roman"/>
          <w:color w:val="275176"/>
          <w:sz w:val="18"/>
          <w:szCs w:val="18"/>
          <w:lang w:eastAsia="nl-NL"/>
        </w:rPr>
        <w:t>supervisoren</w:t>
      </w:r>
      <w:proofErr w:type="spellEnd"/>
      <w:r w:rsidRPr="007E76AC">
        <w:rPr>
          <w:rFonts w:ascii="Verdana" w:eastAsia="Times New Roman" w:hAnsi="Verdana" w:cs="Times New Roman"/>
          <w:color w:val="275176"/>
          <w:sz w:val="18"/>
          <w:szCs w:val="18"/>
          <w:lang w:eastAsia="nl-NL"/>
        </w:rPr>
        <w:t xml:space="preserve">. Het maximum aantal deelnemers is 15, het minimum negen. De workshop is inclusief koffie/thee en lunch.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t>Datum/tijd: 22 juni 2015, 10:00-17:00 uur</w:t>
      </w:r>
      <w:r w:rsidRPr="007E76AC">
        <w:rPr>
          <w:rFonts w:ascii="Verdana" w:eastAsia="Times New Roman" w:hAnsi="Verdana" w:cs="Times New Roman"/>
          <w:color w:val="275176"/>
          <w:sz w:val="18"/>
          <w:szCs w:val="18"/>
          <w:lang w:eastAsia="nl-NL"/>
        </w:rPr>
        <w:br/>
        <w:t>Locatie: VGCt bureau, Lunettenbaan 57 te Utrecht</w:t>
      </w:r>
      <w:r w:rsidRPr="007E76AC">
        <w:rPr>
          <w:rFonts w:ascii="Verdana" w:eastAsia="Times New Roman" w:hAnsi="Verdana" w:cs="Times New Roman"/>
          <w:color w:val="275176"/>
          <w:sz w:val="18"/>
          <w:szCs w:val="18"/>
          <w:lang w:eastAsia="nl-NL"/>
        </w:rPr>
        <w:br/>
        <w:t>Parkeren: beperkte parkeergelegenheid op eigen terrein, of in de buurt rond het bureau</w:t>
      </w:r>
      <w:r w:rsidRPr="007E76AC">
        <w:rPr>
          <w:rFonts w:ascii="Verdana" w:eastAsia="Times New Roman" w:hAnsi="Verdana" w:cs="Times New Roman"/>
          <w:color w:val="275176"/>
          <w:sz w:val="18"/>
          <w:szCs w:val="18"/>
          <w:lang w:eastAsia="nl-NL"/>
        </w:rPr>
        <w:br/>
        <w:t>Accreditatie: 6 contacturen nascholing voor herregistratie VGCt</w:t>
      </w:r>
      <w:r w:rsidRPr="007E76AC">
        <w:rPr>
          <w:rFonts w:ascii="Verdana" w:eastAsia="Times New Roman" w:hAnsi="Verdana" w:cs="Times New Roman"/>
          <w:color w:val="275176"/>
          <w:sz w:val="18"/>
          <w:szCs w:val="18"/>
          <w:lang w:eastAsia="nl-NL"/>
        </w:rPr>
        <w:br/>
        <w:t>Kosten: € 150,-</w:t>
      </w:r>
      <w:r w:rsidRPr="007E76AC">
        <w:rPr>
          <w:rFonts w:ascii="Verdana" w:eastAsia="Times New Roman" w:hAnsi="Verdana" w:cs="Times New Roman"/>
          <w:color w:val="275176"/>
          <w:sz w:val="18"/>
          <w:szCs w:val="18"/>
          <w:lang w:eastAsia="nl-NL"/>
        </w:rPr>
        <w:br/>
        <w:t xml:space="preserve">Aanmelden: bij Ingrid Kragten via </w:t>
      </w:r>
      <w:hyperlink r:id="rId5" w:history="1">
        <w:r w:rsidRPr="007E76AC">
          <w:rPr>
            <w:rFonts w:ascii="Verdana" w:eastAsia="Times New Roman" w:hAnsi="Verdana" w:cs="Times New Roman"/>
            <w:b/>
            <w:bCs/>
            <w:color w:val="DE048E"/>
            <w:sz w:val="18"/>
            <w:szCs w:val="18"/>
            <w:lang w:eastAsia="nl-NL"/>
          </w:rPr>
          <w:t>i.kragten@vgct.nl</w:t>
        </w:r>
      </w:hyperlink>
      <w:r w:rsidRPr="007E76AC">
        <w:rPr>
          <w:rFonts w:ascii="Verdana" w:eastAsia="Times New Roman" w:hAnsi="Verdana" w:cs="Times New Roman"/>
          <w:color w:val="275176"/>
          <w:sz w:val="18"/>
          <w:szCs w:val="18"/>
          <w:lang w:eastAsia="nl-NL"/>
        </w:rPr>
        <w:br/>
        <w:t xml:space="preserve">Nieuwe </w:t>
      </w:r>
      <w:proofErr w:type="spellStart"/>
      <w:r w:rsidRPr="007E76AC">
        <w:rPr>
          <w:rFonts w:ascii="Verdana" w:eastAsia="Times New Roman" w:hAnsi="Verdana" w:cs="Times New Roman"/>
          <w:color w:val="275176"/>
          <w:sz w:val="18"/>
          <w:szCs w:val="18"/>
          <w:lang w:eastAsia="nl-NL"/>
        </w:rPr>
        <w:t>supervisoren</w:t>
      </w:r>
      <w:proofErr w:type="spellEnd"/>
      <w:r w:rsidRPr="007E76AC">
        <w:rPr>
          <w:rFonts w:ascii="Verdana" w:eastAsia="Times New Roman" w:hAnsi="Verdana" w:cs="Times New Roman"/>
          <w:color w:val="275176"/>
          <w:sz w:val="18"/>
          <w:szCs w:val="18"/>
          <w:lang w:eastAsia="nl-NL"/>
        </w:rPr>
        <w:t xml:space="preserve"> die geregistreerd zijn tussen 1 januari 2014 en 1 juni 2015 krijgen € 25,- korting.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br/>
        <w:t xml:space="preserve">Annulering is uitsluitend </w:t>
      </w:r>
      <w:proofErr w:type="spellStart"/>
      <w:r w:rsidRPr="007E76AC">
        <w:rPr>
          <w:rFonts w:ascii="Verdana" w:eastAsia="Times New Roman" w:hAnsi="Verdana" w:cs="Times New Roman"/>
          <w:color w:val="275176"/>
          <w:sz w:val="18"/>
          <w:szCs w:val="18"/>
          <w:lang w:eastAsia="nl-NL"/>
        </w:rPr>
        <w:t>schiftelijk</w:t>
      </w:r>
      <w:proofErr w:type="spellEnd"/>
      <w:r w:rsidRPr="007E76AC">
        <w:rPr>
          <w:rFonts w:ascii="Verdana" w:eastAsia="Times New Roman" w:hAnsi="Verdana" w:cs="Times New Roman"/>
          <w:color w:val="275176"/>
          <w:sz w:val="18"/>
          <w:szCs w:val="18"/>
          <w:lang w:eastAsia="nl-NL"/>
        </w:rPr>
        <w:t xml:space="preserve"> of via e-mail mogelijk bij Ingrid Kragten, via </w:t>
      </w:r>
      <w:hyperlink r:id="rId6" w:history="1">
        <w:r w:rsidRPr="007E76AC">
          <w:rPr>
            <w:rFonts w:ascii="Verdana" w:eastAsia="Times New Roman" w:hAnsi="Verdana" w:cs="Times New Roman"/>
            <w:b/>
            <w:bCs/>
            <w:color w:val="DE048E"/>
            <w:sz w:val="18"/>
            <w:szCs w:val="18"/>
            <w:lang w:eastAsia="nl-NL"/>
          </w:rPr>
          <w:t>i.kragten@vgct.nl</w:t>
        </w:r>
      </w:hyperlink>
      <w:r w:rsidRPr="007E76AC">
        <w:rPr>
          <w:rFonts w:ascii="Verdana" w:eastAsia="Times New Roman" w:hAnsi="Verdana" w:cs="Times New Roman"/>
          <w:color w:val="275176"/>
          <w:sz w:val="18"/>
          <w:szCs w:val="18"/>
          <w:lang w:eastAsia="nl-NL"/>
        </w:rPr>
        <w:t xml:space="preserve">. </w:t>
      </w:r>
      <w:r w:rsidRPr="007E76AC">
        <w:rPr>
          <w:rFonts w:ascii="Verdana" w:eastAsia="Times New Roman" w:hAnsi="Verdana" w:cs="Times New Roman"/>
          <w:color w:val="275176"/>
          <w:sz w:val="18"/>
          <w:szCs w:val="18"/>
          <w:lang w:eastAsia="nl-NL"/>
        </w:rPr>
        <w:br/>
      </w:r>
      <w:r w:rsidRPr="007E76AC">
        <w:rPr>
          <w:rFonts w:ascii="Verdana" w:eastAsia="Times New Roman" w:hAnsi="Verdana" w:cs="Times New Roman"/>
          <w:color w:val="275176"/>
          <w:sz w:val="18"/>
          <w:szCs w:val="18"/>
          <w:lang w:eastAsia="nl-NL"/>
        </w:rPr>
        <w:lastRenderedPageBreak/>
        <w:br/>
      </w:r>
      <w:r w:rsidRPr="007E76AC">
        <w:rPr>
          <w:rFonts w:ascii="Verdana" w:eastAsia="Times New Roman" w:hAnsi="Verdana" w:cs="Times New Roman"/>
          <w:i/>
          <w:iCs/>
          <w:color w:val="275176"/>
          <w:sz w:val="18"/>
          <w:szCs w:val="18"/>
          <w:lang w:eastAsia="nl-NL"/>
        </w:rPr>
        <w:t xml:space="preserve">Op alle verenigingsactiviteiten zijn de </w:t>
      </w:r>
      <w:hyperlink r:id="rId7" w:tgtFrame="_blank" w:history="1">
        <w:r w:rsidRPr="007E76AC">
          <w:rPr>
            <w:rFonts w:ascii="Verdana" w:eastAsia="Times New Roman" w:hAnsi="Verdana" w:cs="Times New Roman"/>
            <w:b/>
            <w:bCs/>
            <w:i/>
            <w:iCs/>
            <w:color w:val="DE048E"/>
            <w:sz w:val="18"/>
            <w:szCs w:val="18"/>
            <w:lang w:eastAsia="nl-NL"/>
          </w:rPr>
          <w:t xml:space="preserve">algemene voorwaarden evenementen </w:t>
        </w:r>
      </w:hyperlink>
      <w:r w:rsidRPr="007E76AC">
        <w:rPr>
          <w:rFonts w:ascii="Verdana" w:eastAsia="Times New Roman" w:hAnsi="Verdana" w:cs="Times New Roman"/>
          <w:i/>
          <w:iCs/>
          <w:color w:val="275176"/>
          <w:sz w:val="18"/>
          <w:szCs w:val="18"/>
          <w:lang w:eastAsia="nl-NL"/>
        </w:rPr>
        <w:t>van de VGCt van toepassing.</w:t>
      </w:r>
    </w:p>
    <w:sectPr w:rsidR="0065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AC"/>
    <w:rsid w:val="00064B8A"/>
    <w:rsid w:val="000C018F"/>
    <w:rsid w:val="001F42D4"/>
    <w:rsid w:val="002669BD"/>
    <w:rsid w:val="002B00D7"/>
    <w:rsid w:val="003728BB"/>
    <w:rsid w:val="004B6FA0"/>
    <w:rsid w:val="0052064F"/>
    <w:rsid w:val="00654B23"/>
    <w:rsid w:val="007078A7"/>
    <w:rsid w:val="0072475D"/>
    <w:rsid w:val="007366F0"/>
    <w:rsid w:val="007E76AC"/>
    <w:rsid w:val="008329D2"/>
    <w:rsid w:val="00844C80"/>
    <w:rsid w:val="00880BC1"/>
    <w:rsid w:val="009A4813"/>
    <w:rsid w:val="009F2C8D"/>
    <w:rsid w:val="00A70257"/>
    <w:rsid w:val="00A90FDD"/>
    <w:rsid w:val="00AB08C4"/>
    <w:rsid w:val="00AE782E"/>
    <w:rsid w:val="00B063C4"/>
    <w:rsid w:val="00B83B3D"/>
    <w:rsid w:val="00B868A2"/>
    <w:rsid w:val="00C75FD3"/>
    <w:rsid w:val="00CA4365"/>
    <w:rsid w:val="00CE6AC3"/>
    <w:rsid w:val="00D00BEA"/>
    <w:rsid w:val="00DC2ECD"/>
    <w:rsid w:val="00DC43F0"/>
    <w:rsid w:val="00EF0BBE"/>
    <w:rsid w:val="00F25B48"/>
    <w:rsid w:val="00FB16E7"/>
    <w:rsid w:val="00FE1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E76AC"/>
    <w:rPr>
      <w:i/>
      <w:iCs/>
    </w:rPr>
  </w:style>
  <w:style w:type="character" w:styleId="Zwaar">
    <w:name w:val="Strong"/>
    <w:basedOn w:val="Standaardalinea-lettertype"/>
    <w:uiPriority w:val="22"/>
    <w:qFormat/>
    <w:rsid w:val="007E76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E76AC"/>
    <w:rPr>
      <w:i/>
      <w:iCs/>
    </w:rPr>
  </w:style>
  <w:style w:type="character" w:styleId="Zwaar">
    <w:name w:val="Strong"/>
    <w:basedOn w:val="Standaardalinea-lettertype"/>
    <w:uiPriority w:val="22"/>
    <w:qFormat/>
    <w:rsid w:val="007E7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5499">
      <w:bodyDiv w:val="1"/>
      <w:marLeft w:val="0"/>
      <w:marRight w:val="0"/>
      <w:marTop w:val="0"/>
      <w:marBottom w:val="0"/>
      <w:divBdr>
        <w:top w:val="none" w:sz="0" w:space="0" w:color="auto"/>
        <w:left w:val="none" w:sz="0" w:space="0" w:color="auto"/>
        <w:bottom w:val="none" w:sz="0" w:space="0" w:color="auto"/>
        <w:right w:val="none" w:sz="0" w:space="0" w:color="auto"/>
      </w:divBdr>
      <w:divsChild>
        <w:div w:id="1995336972">
          <w:marLeft w:val="30"/>
          <w:marRight w:val="30"/>
          <w:marTop w:val="0"/>
          <w:marBottom w:val="0"/>
          <w:divBdr>
            <w:top w:val="none" w:sz="0" w:space="0" w:color="auto"/>
            <w:left w:val="none" w:sz="0" w:space="0" w:color="auto"/>
            <w:bottom w:val="none" w:sz="0" w:space="0" w:color="auto"/>
            <w:right w:val="none" w:sz="0" w:space="0" w:color="auto"/>
          </w:divBdr>
          <w:divsChild>
            <w:div w:id="1812482239">
              <w:marLeft w:val="0"/>
              <w:marRight w:val="0"/>
              <w:marTop w:val="0"/>
              <w:marBottom w:val="0"/>
              <w:divBdr>
                <w:top w:val="none" w:sz="0" w:space="0" w:color="auto"/>
                <w:left w:val="none" w:sz="0" w:space="0" w:color="auto"/>
                <w:bottom w:val="none" w:sz="0" w:space="0" w:color="auto"/>
                <w:right w:val="none" w:sz="0" w:space="0" w:color="auto"/>
              </w:divBdr>
              <w:divsChild>
                <w:div w:id="1503278533">
                  <w:marLeft w:val="0"/>
                  <w:marRight w:val="0"/>
                  <w:marTop w:val="0"/>
                  <w:marBottom w:val="150"/>
                  <w:divBdr>
                    <w:top w:val="single" w:sz="2" w:space="19" w:color="BCBCBC"/>
                    <w:left w:val="single" w:sz="6" w:space="30" w:color="F0F0F0"/>
                    <w:bottom w:val="single" w:sz="6" w:space="19" w:color="BCBCBC"/>
                    <w:right w:val="single" w:sz="6" w:space="30" w:color="F0F0F0"/>
                  </w:divBdr>
                  <w:divsChild>
                    <w:div w:id="5337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gct.nl/stream/algemene-voorwaarden-evenementen-20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kragten@vgct.nl" TargetMode="External"/><Relationship Id="rId5" Type="http://schemas.openxmlformats.org/officeDocument/2006/relationships/hyperlink" Target="mailto:i.kragten@vgc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VGCt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Kragten</dc:creator>
  <cp:lastModifiedBy>Ingrid Kragten</cp:lastModifiedBy>
  <cp:revision>1</cp:revision>
  <dcterms:created xsi:type="dcterms:W3CDTF">2015-03-19T15:12:00Z</dcterms:created>
  <dcterms:modified xsi:type="dcterms:W3CDTF">2015-03-19T15:14:00Z</dcterms:modified>
</cp:coreProperties>
</file>